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REGULAMIN KONKURSU</w:t>
      </w:r>
    </w:p>
    <w:p w:rsidR="00000000" w:rsidDel="00000000" w:rsidP="00000000" w:rsidRDefault="00000000" w:rsidRPr="00000000" w14:paraId="00000003">
      <w:pPr>
        <w:spacing w:after="0" w:line="271" w:lineRule="auto"/>
        <w:ind w:left="296" w:right="182" w:hanging="1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MIKROGRANTY DLA SENIORÓW 2023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5" w:lineRule="auto"/>
        <w:ind w:left="-7" w:right="41" w:hanging="8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MIKROGRANTY DLA SENIORÓW 2023 to program realizowany przez Centrum Promocji i Rozwoju Inicjatyw Obywatelskich OPUS</w:t>
      </w:r>
      <w:r w:rsidDel="00000000" w:rsidR="00000000" w:rsidRPr="00000000">
        <w:rPr>
          <w:b w:val="1"/>
          <w:sz w:val="24"/>
          <w:szCs w:val="24"/>
          <w:rtl w:val="0"/>
        </w:rPr>
        <w:t xml:space="preserve"> dzięki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finansowan</w:t>
      </w:r>
      <w:r w:rsidDel="00000000" w:rsidR="00000000" w:rsidRPr="00000000">
        <w:rPr>
          <w:b w:val="1"/>
          <w:sz w:val="24"/>
          <w:szCs w:val="24"/>
          <w:rtl w:val="0"/>
        </w:rPr>
        <w:t xml:space="preserve">iu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z budżetu Miasta Łodzi.</w:t>
      </w:r>
    </w:p>
    <w:p w:rsidR="00000000" w:rsidDel="00000000" w:rsidP="00000000" w:rsidRDefault="00000000" w:rsidRPr="00000000" w14:paraId="00000005">
      <w:pPr>
        <w:spacing w:after="75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75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   CEL ZADANIA I ZAKRES PROJEKTÓW MOŻLIWYCH DO REALIZACJI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72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Celem przedsięwzięcia jest wspieranie projektów z zakresu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promowania wolontariatu i pomocy sąsiedzkiej oraz integracji i aktywizacji społecznej osób starszych z uwzględnieniem profilaktyki problemów związanych z używaniem alkoholu. </w:t>
        <w:br w:type="textWrapping"/>
        <w:t xml:space="preserve">Projekty powinny obejmować w szczególności: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promowanie oraz rozwój wolontariatu seniorów, wolontariatu międzypokoleniowego i na rzecz seniorów oraz samopomocy sąsiedzkiej;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podnoszenie poziomu świadomości społecznej i rozwijanie wrażliwości na potrzeby osób starszych, ze szczególnym uwzględnieniem osób samotnych lub mających problemy w poruszaniu się;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działania służące aktywizacji oraz włączaniu społecznemu osób starszych, </w:t>
        <w:br w:type="textWrapping"/>
        <w:t xml:space="preserve">ze szczególnym uwzględnieniem osób samotnych lub mających problemy </w:t>
        <w:br w:type="textWrapping"/>
        <w:t xml:space="preserve">w poruszaniu się oraz osób z rodzin, w których istnieje problem uzależnień, w tym problem alkoholowy;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szeroko pojętą edukację osób starszych, ze szczególnym uwzględnieniem edukacji zdrowotnej; 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promowanie integracji wewnątrz- i międzypokoleniowej;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rozwój i wsparcie aktywności umysłowej oraz sportowo-rekreacyjnej osób starszych, jako alternatywy dla spożywania alkoholu;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144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organizacja wydarzeń kulturalnych o charakterze integracyjnym.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72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Wszystkie projekty muszą być realizowane na terenie Łodzi i adresowane do osób starszych (60+) zamieszkujących Łódź.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72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Projekty będzie można realizować w okresie: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14.06.2023 do  13.11.2023 r.</w:t>
      </w:r>
      <w:r w:rsidDel="00000000" w:rsidR="00000000" w:rsidRPr="00000000">
        <w:rPr>
          <w:b w:val="1"/>
          <w:color w:val="000000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left="720" w:right="182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 przypadku ogłoszenia na terenie na którym jest realizowany Projekt stanów nadzwyczajnych,  tj.: zagrożenia epidemicznego, epidemii, wyjątkowego, klęski żywiołowej, i.in, realizacja projektu musi być bezwzględnie dostosowana do zaleceń odpowiednich władz tj.: Ministra Zdrowia, Inspekcji Sanitarnej, władz lokalnych, i.in.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right="18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right="18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1" w:lineRule="auto"/>
        <w:ind w:right="18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75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75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75" w:line="271" w:lineRule="auto"/>
        <w:ind w:right="41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75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II    PODMIOTY UPRAWNIONE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Podmioty, które mogą wziąć udział w konkursie to:  </w:t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spacing w:after="0" w:line="271" w:lineRule="auto"/>
        <w:ind w:left="1353" w:right="47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organizacje pozarządowe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lub podmioty wskazane w art. 3 ust. 3 ustawy z dn. 24.04.2003 r.  o działalności pożytku publicznego i o wolontariacie, zgodnie </w:t>
        <w:br w:type="textWrapping"/>
        <w:t xml:space="preserve">z działaniami statutowymi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pracujące na rzecz osób starszych oraz z osobami starszymi (60+) w Łodzi</w:t>
      </w: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spacing w:after="0" w:line="271" w:lineRule="auto"/>
        <w:ind w:left="1353" w:right="47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grupy nieformalne (GN)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– grupy wspólnie realizujące lub chcące realizować działania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na rzecz osób starszych oraz z osobami starszymi (60+) w Łodzi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</w:t>
        <w:br w:type="textWrapping"/>
        <w:t xml:space="preserve">a nieposiadające osobowości prawnej. GN będzie mogła ubiegać się o wsparcie realizacji lokalnego przedsięwzięcia mieszczącego się w sferze zadań publicznych określonej w art. 4 UoDPPioW i Regulaminu Pkt I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za pośrednictwem innej organizacji pozarządowej (tzw. PATRONA)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1" w:lineRule="auto"/>
        <w:ind w:left="1353" w:right="47" w:firstLine="0"/>
        <w:jc w:val="both"/>
        <w:rPr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Osoby 60 + muszą stanowić minimum 50% członków ww. grupy nieformalnej.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Każdy z ww. podmiotów uprawnionych może złożyć tylko jeden projekt.  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line="271" w:lineRule="auto"/>
        <w:ind w:left="720" w:right="47" w:hanging="360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Organizacja pełniąca funkcję PATRONA, może ją pełnić dla dowolnej liczby grup nieformalnych. Organizacja będąca PATRONEM może też złożyć jeden własny projekt.  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Jeden mieszkaniec może być członkiem tylko jednej grupy nieformalne (GN).  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Członkowie organów statutowych (np. zarząd, komisja rewizyjna) organizacji pełniącej funkcję PATRONA nie mogą być członkami grup nieformalnych (GN), dla których organizacja jest patronem.  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 ubiegania się o mikrodotacje wyłączeni są członkowie rodzin oraz pracownicy Operatora (tj. osoby, które są lub były zatrudnione w okresie ostatnich 12 miesięcy na podstawie umowy o pracę  lub umowy cywilnoprawnej trwającej nieprzerwanie co najmniej 6 m-cy).  </w:t>
      </w:r>
    </w:p>
    <w:p w:rsidR="00000000" w:rsidDel="00000000" w:rsidP="00000000" w:rsidRDefault="00000000" w:rsidRPr="00000000" w14:paraId="00000022">
      <w:pPr>
        <w:spacing w:after="20" w:line="271" w:lineRule="auto"/>
        <w:ind w:right="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III. NABÓR FORMULARZY WNIOSKÓW </w:t>
      </w:r>
    </w:p>
    <w:p w:rsidR="00000000" w:rsidDel="00000000" w:rsidP="00000000" w:rsidRDefault="00000000" w:rsidRPr="00000000" w14:paraId="00000024">
      <w:pPr>
        <w:spacing w:after="20" w:line="271" w:lineRule="auto"/>
        <w:ind w:right="47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Nabór wniosków na realizację projektów prowadzony będzie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od dnia ogłoszenia konkursu do dnia 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22.05.2023 r. (poniedziałek) do godz. 16.00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Wnioskodawcy składają wniosek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za pośrednictwem generatora znajdującego się na stronie www.opus.org.pl w zakładce Konkursy (Mikrogranty dla Seniorów 2023).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Wnioski, które wpłyną po terminie naboru wniosków nie będą rozpatrywane.  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Wnioski złożone inną drogą niż za pośrednictwem generatora na stronie </w:t>
      </w:r>
      <w:hyperlink r:id="rId6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www.opus.org.pl</w:t>
        </w:r>
      </w:hyperlink>
      <w:hyperlink r:id="rId7">
        <w:r w:rsidDel="00000000" w:rsidR="00000000" w:rsidRPr="00000000">
          <w:rPr>
            <w:color w:val="000000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nie będą rozpatrywane.  W przypadku problemów związanych </w:t>
        <w:br w:type="textWrapping"/>
        <w:t xml:space="preserve">z wypełnianiem formularza za pośrednictwem generatora, 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doradca Centrum Opus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 pomoże w wypełnieniu i wysłaniu wniosku.</w:t>
      </w:r>
    </w:p>
    <w:p w:rsidR="00000000" w:rsidDel="00000000" w:rsidP="00000000" w:rsidRDefault="00000000" w:rsidRPr="00000000" w14:paraId="00000029">
      <w:pPr>
        <w:spacing w:after="0" w:line="271" w:lineRule="auto"/>
        <w:ind w:left="720" w:right="4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WAŻNE! 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Na etapie składania wniosków nie należy składać Operatorowi żadnych załączników. Zobowiązani do tego będą jedynie realizatorzy projektów, które otrzymają decyzję  o dofinansowaniu.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15" w:line="271" w:lineRule="auto"/>
        <w:ind w:left="720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Operator zastrzega sobie możliwość ogłoszenia kolejnego naboru w przypadku niewykorzystania całej puli środków w pierwszym naborze. O terminie kolejnego naboru wniosków Operator poinformuje na </w:t>
      </w:r>
      <w:hyperlink r:id="rId8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www.opus.org.pl</w:t>
        </w:r>
      </w:hyperlink>
      <w:hyperlink r:id="rId9">
        <w:r w:rsidDel="00000000" w:rsidR="00000000" w:rsidRPr="00000000">
          <w:rPr>
            <w:color w:val="000000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15" w:line="271" w:lineRule="auto"/>
        <w:ind w:left="720" w:right="47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75" w:lineRule="auto"/>
        <w:ind w:left="-7" w:right="41" w:hanging="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IV   KRYTERIA WYBORU PROJEKTÓW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line="271" w:lineRule="auto"/>
        <w:ind w:left="720" w:right="41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Procedura wyboru projektów do wsparcia mikrograntami obejmuje dwa etapy: </w:t>
      </w:r>
    </w:p>
    <w:p w:rsidR="00000000" w:rsidDel="00000000" w:rsidP="00000000" w:rsidRDefault="00000000" w:rsidRPr="00000000" w14:paraId="0000002F">
      <w:pPr>
        <w:numPr>
          <w:ilvl w:val="1"/>
          <w:numId w:val="7"/>
        </w:numPr>
        <w:spacing w:after="0" w:line="271" w:lineRule="auto"/>
        <w:ind w:left="1440" w:right="73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ETAP I: komisyjna ocena  formalna i ocena merytoryczna formularzy wniosków projektowych zgodnie z kartami oceny. 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spacing w:after="0" w:line="271" w:lineRule="auto"/>
        <w:ind w:left="1440" w:right="73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ETAP II:  komisyjna ocena Rozmowy/Prezentacji projektu zgodnie z kartą oceny. 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ETAP I: ocena formalna i merytoryczna zostaną zakończone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do 31.05.2023 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Każdy formularz wniosku projektowego będzie oceniany przez 2 niezależnych członków powołanej Komisji Oceny Wniosków (KOW). O wyniku decyduje średnia  przyznanych punktów. 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Ocena KOW jest ostateczna i nie przysługuje od niej odwołanie. 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Członkowie KOW mają prawo do telefonicznego kontaktu z wnioskodawcami (organizacje pozarządowe, PATRONI) i realizatorami (organizacje pozarządowe, grupy nieformalne) w celu uzyskania wyjaśnień do oceny formalnej.  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ETAP II odbywać się będzie w dniach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05.06.2023 - 07.06.2023 r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ETAP II obejmuje 20-minutową Rozmowę/Prezentację projektu przed członkami KOW w jednej z wybranych przez wnioskodawcę/realizatora formuł:</w:t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spacing w:after="0" w:line="271" w:lineRule="auto"/>
        <w:ind w:left="144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formule rozmowy bezpośredniej w siedzibie Operatora (Centrum Promocji </w:t>
        <w:br w:type="textWrapping"/>
        <w:t xml:space="preserve">i Rozwoju Inicjatyw Obywatelskich OPUS ul. Narutowicza 8/10, 90-135 Łódź) lub użyczonych pomieszczeniach Stref Aktywności Sąsiedzkiej </w:t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spacing w:after="0" w:line="271" w:lineRule="auto"/>
        <w:ind w:left="144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formule rozmowy on-line (za pośrednictwem komunikatora cyfrowego </w:t>
        <w:br w:type="textWrapping"/>
        <w:t xml:space="preserve">np. MEET).  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Operator uzgodni z wnioskodawcami/realizatorami godzinę i formułę Rozmowy/Prezentacji. Niepojawienie się na wybranym spotkaniu Komisji Oceniającej Wnioski (KOW) będzie skutkowało dyskwalifikacją oferty i automatycznym przyznaniem liczby 0 punktów w rankingu. 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64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 skład KOW wejdą przedstawiciele Operatora i przedstawiciele Urzędu Miasta Łodzi.  </w:t>
      </w:r>
    </w:p>
    <w:p w:rsidR="00000000" w:rsidDel="00000000" w:rsidP="00000000" w:rsidRDefault="00000000" w:rsidRPr="00000000" w14:paraId="0000003B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64" w:line="271" w:lineRule="auto"/>
        <w:ind w:right="47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64" w:line="271" w:lineRule="auto"/>
        <w:ind w:right="47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64" w:line="271" w:lineRule="auto"/>
        <w:ind w:right="47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64" w:line="271" w:lineRule="auto"/>
        <w:ind w:right="47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V    WYSOKOŚĆ MIKROGRANTÓW </w:t>
      </w:r>
    </w:p>
    <w:p w:rsidR="00000000" w:rsidDel="00000000" w:rsidP="00000000" w:rsidRDefault="00000000" w:rsidRPr="00000000" w14:paraId="00000044">
      <w:pPr>
        <w:spacing w:after="64" w:line="271" w:lineRule="auto"/>
        <w:ind w:right="47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64" w:line="271" w:lineRule="auto"/>
        <w:ind w:left="794" w:right="47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Kwota mikrograntu może wynieść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od 500,00 zł do 5 000,00 zł. 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64" w:line="271" w:lineRule="auto"/>
        <w:ind w:left="794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Wkład własny Wnioskodawcy nie jest wymagany.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20" w:line="271" w:lineRule="auto"/>
        <w:ind w:left="794" w:right="47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Planowana liczba inicjatyw wspartych mikrograntami: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min. 20 inicjatyw</w:t>
      </w:r>
    </w:p>
    <w:p w:rsidR="00000000" w:rsidDel="00000000" w:rsidP="00000000" w:rsidRDefault="00000000" w:rsidRPr="00000000" w14:paraId="00000048">
      <w:pPr>
        <w:spacing w:after="20" w:line="271" w:lineRule="auto"/>
        <w:ind w:left="794" w:right="47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75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VI   KOSZTY KWALIFIKOWALNE I NIEKWALIFIKOWALNE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4"/>
        </w:numPr>
        <w:spacing w:after="64" w:line="271" w:lineRule="auto"/>
        <w:ind w:left="722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Wydatki poniesione w ramach realizacji projektu muszą być: </w:t>
      </w:r>
    </w:p>
    <w:p w:rsidR="00000000" w:rsidDel="00000000" w:rsidP="00000000" w:rsidRDefault="00000000" w:rsidRPr="00000000" w14:paraId="0000004B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niezbędne dla realizacji projektu, </w:t>
      </w:r>
    </w:p>
    <w:p w:rsidR="00000000" w:rsidDel="00000000" w:rsidP="00000000" w:rsidRDefault="00000000" w:rsidRPr="00000000" w14:paraId="0000004C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racjonalne i efektywne, </w:t>
      </w:r>
    </w:p>
    <w:p w:rsidR="00000000" w:rsidDel="00000000" w:rsidP="00000000" w:rsidRDefault="00000000" w:rsidRPr="00000000" w14:paraId="0000004D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faktycznie poniesione w okresie realizacji projektu, </w:t>
      </w:r>
    </w:p>
    <w:p w:rsidR="00000000" w:rsidDel="00000000" w:rsidP="00000000" w:rsidRDefault="00000000" w:rsidRPr="00000000" w14:paraId="0000004E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udokumentowane, </w:t>
      </w:r>
    </w:p>
    <w:p w:rsidR="00000000" w:rsidDel="00000000" w:rsidP="00000000" w:rsidRDefault="00000000" w:rsidRPr="00000000" w14:paraId="0000004F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przewidziane w budżecie projektu, </w:t>
      </w:r>
    </w:p>
    <w:p w:rsidR="00000000" w:rsidDel="00000000" w:rsidP="00000000" w:rsidRDefault="00000000" w:rsidRPr="00000000" w14:paraId="00000050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zgodne z odrębnymi przepisami prawa powszechnie obowiązującego. 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after="64" w:line="271" w:lineRule="auto"/>
        <w:ind w:left="722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obsługi projektu (wynagrodzenie koordynatora, księgowej, koszty biurowe – telefon, czynsz, prąd) są kwalifikowane do wysokości 10% dotacji. 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pacing w:after="64" w:line="271" w:lineRule="auto"/>
        <w:ind w:left="722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Do wydatków, które nie mogą być finansowane w ramach konkursu, należą wydatki nie odnoszące się jednoznacznie do projektu, a także w szczególności: </w:t>
      </w:r>
    </w:p>
    <w:p w:rsidR="00000000" w:rsidDel="00000000" w:rsidP="00000000" w:rsidRDefault="00000000" w:rsidRPr="00000000" w14:paraId="00000053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podatek od towarów i usług (VAT), jeśli może zostać odliczony w oparciu </w:t>
        <w:br w:type="textWrapping"/>
        <w:t xml:space="preserve">o ustawę z dnia 11 marca 2004 r. o podatku od towarów i usług; </w:t>
      </w:r>
    </w:p>
    <w:p w:rsidR="00000000" w:rsidDel="00000000" w:rsidP="00000000" w:rsidRDefault="00000000" w:rsidRPr="00000000" w14:paraId="00000054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zakup nieruchomości gruntowej, lokalowej, budowlanej; </w:t>
      </w:r>
    </w:p>
    <w:p w:rsidR="00000000" w:rsidDel="00000000" w:rsidP="00000000" w:rsidRDefault="00000000" w:rsidRPr="00000000" w14:paraId="00000055">
      <w:pPr>
        <w:numPr>
          <w:ilvl w:val="2"/>
          <w:numId w:val="4"/>
        </w:numPr>
        <w:spacing w:after="21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zakup środków trwałych (w rozumieniu art. 3 ust. 1 pkt. 15 ustawy z dnia </w:t>
        <w:br w:type="textWrapping"/>
        <w:t xml:space="preserve">29 września 1994 r. o rachunkowości oraz art. 16a ust. 1 w zw. z art. 16d ust. 1 ustawy z dnia 15 lutego 1992 r. o podatku dochodowym od osób prawnych); </w:t>
      </w:r>
    </w:p>
    <w:p w:rsidR="00000000" w:rsidDel="00000000" w:rsidP="00000000" w:rsidRDefault="00000000" w:rsidRPr="00000000" w14:paraId="00000056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amortyzacja; </w:t>
      </w:r>
    </w:p>
    <w:p w:rsidR="00000000" w:rsidDel="00000000" w:rsidP="00000000" w:rsidRDefault="00000000" w:rsidRPr="00000000" w14:paraId="00000057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leasing; </w:t>
      </w:r>
    </w:p>
    <w:p w:rsidR="00000000" w:rsidDel="00000000" w:rsidP="00000000" w:rsidRDefault="00000000" w:rsidRPr="00000000" w14:paraId="00000058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rezerwy na pokrycie przyszłych strat lub zobowiązań; </w:t>
      </w:r>
    </w:p>
    <w:p w:rsidR="00000000" w:rsidDel="00000000" w:rsidP="00000000" w:rsidRDefault="00000000" w:rsidRPr="00000000" w14:paraId="00000059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odsetki z tytułu niezapłaconych w terminie zobowiązań; </w:t>
      </w:r>
    </w:p>
    <w:p w:rsidR="00000000" w:rsidDel="00000000" w:rsidP="00000000" w:rsidRDefault="00000000" w:rsidRPr="00000000" w14:paraId="0000005A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kar i grzywien; </w:t>
      </w:r>
    </w:p>
    <w:p w:rsidR="00000000" w:rsidDel="00000000" w:rsidP="00000000" w:rsidRDefault="00000000" w:rsidRPr="00000000" w14:paraId="0000005B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procesów sądowych; </w:t>
      </w:r>
    </w:p>
    <w:p w:rsidR="00000000" w:rsidDel="00000000" w:rsidP="00000000" w:rsidRDefault="00000000" w:rsidRPr="00000000" w14:paraId="0000005C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nagrody, premie i inne formy bonifikaty rzeczowej lub finansowej dla osób zajmujących się realizacją zadania; </w:t>
      </w:r>
    </w:p>
    <w:p w:rsidR="00000000" w:rsidDel="00000000" w:rsidP="00000000" w:rsidRDefault="00000000" w:rsidRPr="00000000" w14:paraId="0000005D">
      <w:pPr>
        <w:numPr>
          <w:ilvl w:val="2"/>
          <w:numId w:val="4"/>
        </w:numPr>
        <w:spacing w:after="64" w:line="271" w:lineRule="auto"/>
        <w:ind w:left="1435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obsługi konta bankowego (nie dotyczy kosztów przelewów); </w:t>
      </w:r>
    </w:p>
    <w:p w:rsidR="00000000" w:rsidDel="00000000" w:rsidP="00000000" w:rsidRDefault="00000000" w:rsidRPr="00000000" w14:paraId="0000005E">
      <w:pPr>
        <w:spacing w:after="64" w:line="271" w:lineRule="auto"/>
        <w:ind w:right="47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64" w:line="271" w:lineRule="auto"/>
        <w:ind w:right="47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zakup napojów alkoholowych (jest to niezgodne z art. 4 ust. 1 pkt 32 UoDPPioW oraz art. 1 ust. 1 ustawy z dnia 26 października 1982 r. </w:t>
        <w:br w:type="textWrapping"/>
        <w:t xml:space="preserve">o wychowaniu w trzeźwości i przeciwdziałaniu alkoholizmowi); </w:t>
      </w:r>
    </w:p>
    <w:p w:rsidR="00000000" w:rsidDel="00000000" w:rsidP="00000000" w:rsidRDefault="00000000" w:rsidRPr="00000000" w14:paraId="00000061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podatki i opłaty z wyłączeniem podatku dochodowego od osób fizycznych, składek na ubezpieczenie społeczne i zdrowotne, składek na Fundusz Pracy oraz Fundusz Gwarantowanych Świadczeń Pracowniczych, a także opłat za zaświadczenie o niekaralności oraz opłaty za zajęcie pasa drogowego); </w:t>
      </w:r>
    </w:p>
    <w:p w:rsidR="00000000" w:rsidDel="00000000" w:rsidP="00000000" w:rsidRDefault="00000000" w:rsidRPr="00000000" w14:paraId="00000062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wyjazdów służbowych osób zaangażowanych w realizację projektu na podstawie umowy cywilnoprawnej, chyba, że umowa przewiduje zwrot kosztów podróży. </w:t>
      </w:r>
    </w:p>
    <w:p w:rsidR="00000000" w:rsidDel="00000000" w:rsidP="00000000" w:rsidRDefault="00000000" w:rsidRPr="00000000" w14:paraId="00000063">
      <w:pPr>
        <w:numPr>
          <w:ilvl w:val="1"/>
          <w:numId w:val="4"/>
        </w:numPr>
        <w:spacing w:after="64" w:line="271" w:lineRule="auto"/>
        <w:ind w:left="722" w:right="47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Niekwalifikowalne są także: </w:t>
      </w:r>
    </w:p>
    <w:p w:rsidR="00000000" w:rsidDel="00000000" w:rsidP="00000000" w:rsidRDefault="00000000" w:rsidRPr="00000000" w14:paraId="00000064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koszty rozliczane na podstawie faktur/rachunków wystawianych przez organizację użyczającą osobowości prawnej grupie realizującej lokalne przedsięwzięcia (Wnioskodawca). Organizacja taka nie może występować jako wykonawca lub podwykonawca działań przewidzianych w projekcie </w:t>
        <w:br w:type="textWrapping"/>
        <w:t xml:space="preserve">i skalkulowanych w budżecie. Oznacza to jednocześnie, że z pracownikami takiej organizacji oraz władzami statutowymi nie mogą być zawierane umowy cywilnoprawne. Wyjątek stanowić mogą koszty obsługi finansowej /księgowości Wnioskodawcy. </w:t>
      </w:r>
    </w:p>
    <w:p w:rsidR="00000000" w:rsidDel="00000000" w:rsidP="00000000" w:rsidRDefault="00000000" w:rsidRPr="00000000" w14:paraId="00000065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wydatki związane z tworzeniem kapitału żelaznego organizacji, </w:t>
      </w:r>
    </w:p>
    <w:p w:rsidR="00000000" w:rsidDel="00000000" w:rsidP="00000000" w:rsidRDefault="00000000" w:rsidRPr="00000000" w14:paraId="00000066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wydatki związane z realizacją celów religijnych oraz uprawiania kultu religijnego, </w:t>
      </w:r>
    </w:p>
    <w:p w:rsidR="00000000" w:rsidDel="00000000" w:rsidP="00000000" w:rsidRDefault="00000000" w:rsidRPr="00000000" w14:paraId="00000067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wydatki związane z realizacją celów politycznych, </w:t>
      </w:r>
    </w:p>
    <w:p w:rsidR="00000000" w:rsidDel="00000000" w:rsidP="00000000" w:rsidRDefault="00000000" w:rsidRPr="00000000" w14:paraId="00000068">
      <w:pPr>
        <w:numPr>
          <w:ilvl w:val="2"/>
          <w:numId w:val="4"/>
        </w:numPr>
        <w:spacing w:after="64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wydatki związane z prowadzeniem działalności odpłatnej statutowej pożytku publicznego i gospodarczej przez Wnioskodawcę i/lub Realizatora. </w:t>
      </w:r>
    </w:p>
    <w:p w:rsidR="00000000" w:rsidDel="00000000" w:rsidP="00000000" w:rsidRDefault="00000000" w:rsidRPr="00000000" w14:paraId="00000069">
      <w:pPr>
        <w:numPr>
          <w:ilvl w:val="2"/>
          <w:numId w:val="4"/>
        </w:numPr>
        <w:spacing w:after="23" w:line="271" w:lineRule="auto"/>
        <w:ind w:left="1435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finansowanie nagród pieniężnych w ramach realizacji przedsięwzięć. </w:t>
      </w:r>
    </w:p>
    <w:p w:rsidR="00000000" w:rsidDel="00000000" w:rsidP="00000000" w:rsidRDefault="00000000" w:rsidRPr="00000000" w14:paraId="0000006A">
      <w:pPr>
        <w:spacing w:after="23" w:line="271" w:lineRule="auto"/>
        <w:ind w:right="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3" w:line="271" w:lineRule="auto"/>
        <w:ind w:left="1435" w:right="4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9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VII   POSTANOWIENIA KOŃCOWE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line="271" w:lineRule="auto"/>
        <w:ind w:left="720" w:right="4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Operator zastrzega możliwość zmiany postanowień Regulaminu, bez podania przyczyny, a także zamknięcia Konkursu w dowolnym momencie bez rozstrzygnięcia. W takim przypadku Wnioskodawcom nie przysługują żadne roszczenia z tytułu przygotowania i złożenia wniosków. Sytuacja taka dotyczyć może w szczególności </w:t>
        <w:br w:type="textWrapping"/>
        <w:t xml:space="preserve">np. wystąpienia siły wyższej, klęsk żywiołowych, itp. a także wypowiedzenia umowy Operatorowi przez Miasto Łódź  </w:t>
      </w:r>
    </w:p>
    <w:p w:rsidR="00000000" w:rsidDel="00000000" w:rsidP="00000000" w:rsidRDefault="00000000" w:rsidRPr="00000000" w14:paraId="0000006E">
      <w:pPr>
        <w:spacing w:after="0" w:line="271" w:lineRule="auto"/>
        <w:ind w:right="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9" w:line="271" w:lineRule="auto"/>
        <w:ind w:right="41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9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9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9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9" w:line="271" w:lineRule="auto"/>
        <w:ind w:right="41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9" w:line="271" w:lineRule="auto"/>
        <w:ind w:right="41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9" w:line="271" w:lineRule="auto"/>
        <w:ind w:right="41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VIII  DODATKOWE INFORMACJE NA TEMAT KONKURSU </w:t>
      </w:r>
    </w:p>
    <w:p w:rsidR="00000000" w:rsidDel="00000000" w:rsidP="00000000" w:rsidRDefault="00000000" w:rsidRPr="00000000" w14:paraId="00000076">
      <w:pPr>
        <w:spacing w:after="29" w:line="271" w:lineRule="auto"/>
        <w:ind w:right="4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71" w:lineRule="auto"/>
        <w:ind w:left="12" w:right="47" w:firstLine="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Dodatkow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informacj</w:t>
      </w:r>
      <w:r w:rsidDel="00000000" w:rsidR="00000000" w:rsidRPr="00000000">
        <w:rPr>
          <w:sz w:val="24"/>
          <w:szCs w:val="24"/>
          <w:rtl w:val="0"/>
        </w:rPr>
        <w:t xml:space="preserve">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na temat konkursu można uzyskać u Operatora: </w:t>
      </w:r>
    </w:p>
    <w:tbl>
      <w:tblPr>
        <w:tblStyle w:val="Table1"/>
        <w:tblW w:w="9699.0" w:type="dxa"/>
        <w:jc w:val="left"/>
        <w:tblInd w:w="110.0" w:type="dxa"/>
        <w:tblLayout w:type="fixed"/>
        <w:tblLook w:val="0400"/>
      </w:tblPr>
      <w:tblGrid>
        <w:gridCol w:w="5302"/>
        <w:gridCol w:w="4397"/>
        <w:tblGridChange w:id="0">
          <w:tblGrid>
            <w:gridCol w:w="5302"/>
            <w:gridCol w:w="4397"/>
          </w:tblGrid>
        </w:tblGridChange>
      </w:tblGrid>
      <w:tr>
        <w:trPr>
          <w:cantSplit w:val="0"/>
          <w:trHeight w:val="267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spacing w:after="32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spacing w:after="1" w:line="284" w:lineRule="auto"/>
              <w:ind w:right="1598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Centrum Promocji i Rozwoju Inicjatyw Obywatelskich OPUS ul. Narutowicza 8/10, 90-135 Łódź, </w:t>
            </w:r>
          </w:p>
          <w:p w:rsidR="00000000" w:rsidDel="00000000" w:rsidP="00000000" w:rsidRDefault="00000000" w:rsidRPr="00000000" w14:paraId="0000007A">
            <w:pPr>
              <w:spacing w:after="2" w:line="283" w:lineRule="auto"/>
              <w:ind w:right="368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tel. (42) 207 73 39; 509 899 449 </w:t>
            </w:r>
            <w:r w:rsidDel="00000000" w:rsidR="00000000" w:rsidRPr="00000000">
              <w:rPr>
                <w:color w:val="1155cc"/>
                <w:sz w:val="24"/>
                <w:szCs w:val="24"/>
                <w:u w:val="single"/>
                <w:rtl w:val="0"/>
              </w:rPr>
              <w:t xml:space="preserve">opus@opus.org.pl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B">
            <w:pPr>
              <w:spacing w:after="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spacing w:after="32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spacing w:after="32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Osoby do kontaktu:  </w:t>
            </w:r>
          </w:p>
          <w:p w:rsidR="00000000" w:rsidDel="00000000" w:rsidP="00000000" w:rsidRDefault="00000000" w:rsidRPr="00000000" w14:paraId="0000007E">
            <w:pPr>
              <w:spacing w:after="0" w:line="284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Doradztwo w ramach projektu prowadzą:  </w:t>
            </w:r>
            <w:hyperlink r:id="rId10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mgromadzka@opus.org.pl</w:t>
              </w:r>
            </w:hyperlink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spacing w:after="0" w:line="284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tel. 7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97 548 832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84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Rule="auto"/>
              <w:ind w:right="55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Wsparcie inkubatora dla grup nieformalnych:</w:t>
            </w:r>
          </w:p>
          <w:p w:rsidR="00000000" w:rsidDel="00000000" w:rsidP="00000000" w:rsidRDefault="00000000" w:rsidRPr="00000000" w14:paraId="00000082">
            <w:pPr>
              <w:spacing w:after="0" w:lineRule="auto"/>
              <w:ind w:right="55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zgradys@opus.org.pl </w:t>
            </w:r>
          </w:p>
          <w:p w:rsidR="00000000" w:rsidDel="00000000" w:rsidP="00000000" w:rsidRDefault="00000000" w:rsidRPr="00000000" w14:paraId="00000083">
            <w:pPr>
              <w:spacing w:after="0" w:lineRule="auto"/>
              <w:ind w:right="5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tel. 511 214 087</w:t>
            </w:r>
          </w:p>
        </w:tc>
      </w:tr>
    </w:tbl>
    <w:p w:rsidR="00000000" w:rsidDel="00000000" w:rsidP="00000000" w:rsidRDefault="00000000" w:rsidRPr="00000000" w14:paraId="00000084">
      <w:pPr>
        <w:spacing w:after="32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417" w:top="1417" w:left="1417" w:right="1417" w:header="124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        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-1106</wp:posOffset>
          </wp:positionH>
          <wp:positionV relativeFrom="paragraph">
            <wp:posOffset>-677544</wp:posOffset>
          </wp:positionV>
          <wp:extent cx="5760410" cy="8636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95" w:hanging="795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514" w:hanging="151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2234" w:hanging="223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954" w:hanging="295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674" w:hanging="367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394" w:hanging="439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5114" w:hanging="511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834" w:hanging="583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554" w:hanging="6554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6"/>
      <w:numFmt w:val="upperRoman"/>
      <w:lvlText w:val="%1."/>
      <w:lvlJc w:val="left"/>
      <w:pPr>
        <w:ind w:left="453" w:hanging="453"/>
      </w:pPr>
      <w:rPr>
        <w:rFonts w:ascii="Calibri" w:cs="Calibri" w:eastAsia="Calibri" w:hAnsi="Calibri"/>
        <w:b w:val="1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723" w:hanging="72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Letter"/>
      <w:lvlText w:val="%3."/>
      <w:lvlJc w:val="left"/>
      <w:pPr>
        <w:ind w:left="1435" w:hanging="1435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163" w:hanging="216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2883" w:hanging="288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603" w:hanging="360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323" w:hanging="432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043" w:hanging="504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5763" w:hanging="5763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353" w:hanging="359"/>
      </w:pPr>
      <w:rPr>
        <w:b w:val="0"/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mgromadzka@opus.org.pl" TargetMode="External"/><Relationship Id="rId9" Type="http://schemas.openxmlformats.org/officeDocument/2006/relationships/hyperlink" Target="http://www.opus.org.pl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pus.org.pl/" TargetMode="External"/><Relationship Id="rId7" Type="http://schemas.openxmlformats.org/officeDocument/2006/relationships/hyperlink" Target="http://www.opus.org.pl/" TargetMode="External"/><Relationship Id="rId8" Type="http://schemas.openxmlformats.org/officeDocument/2006/relationships/hyperlink" Target="http://www.opus.org.pl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